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5A8" w:rsidRDefault="00CB05A8" w:rsidP="00CB05A8">
      <w:pPr>
        <w:spacing w:after="0"/>
        <w:ind w:firstLine="709"/>
        <w:jc w:val="both"/>
        <w:rPr>
          <w:b/>
          <w:bCs/>
        </w:rPr>
      </w:pPr>
      <w:r w:rsidRPr="009562F0">
        <w:rPr>
          <w:b/>
          <w:bCs/>
        </w:rPr>
        <w:t>Условия предоставления образовательного кредита</w:t>
      </w:r>
    </w:p>
    <w:p w:rsidR="00CB05A8" w:rsidRDefault="00CB05A8" w:rsidP="00CB05A8">
      <w:pPr>
        <w:spacing w:after="0"/>
        <w:ind w:firstLine="709"/>
        <w:jc w:val="both"/>
      </w:pPr>
      <w:r w:rsidRPr="009562F0">
        <w:t>Образовательный кредит с государственной поддержкой является целевым: он направляется на оплату обучения. Перед оформлением необходимо проверить выбранную программу по перечню, заключить договор об оказании платных образовательных услуг и подготовить документы для банка. Условия кредитования, порядок рассмотрения заявки и перечень документов необходимо уточнять в банке, участвующем в программе. Перед подписанием кредитного договора внимательно изучите график платежей, льготный период, порядок досрочного погашения и действия при изменении статуса обучающегося. Периодичность обновления: при изменении условий программы или требований банков.</w:t>
      </w:r>
    </w:p>
    <w:p w:rsidR="00F035CE" w:rsidRDefault="00F035CE"/>
    <w:sectPr w:rsidR="00F03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CB05A8"/>
    <w:rsid w:val="00CB05A8"/>
    <w:rsid w:val="00F03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СпециалистОК</cp:lastModifiedBy>
  <cp:revision>2</cp:revision>
  <dcterms:created xsi:type="dcterms:W3CDTF">2026-06-29T08:33:00Z</dcterms:created>
  <dcterms:modified xsi:type="dcterms:W3CDTF">2026-06-29T08:33:00Z</dcterms:modified>
</cp:coreProperties>
</file>